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D2" w:rsidRDefault="001539E7" w:rsidP="001539E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Felony </w:t>
      </w:r>
      <w:r w:rsidR="00F815FC">
        <w:rPr>
          <w:sz w:val="32"/>
          <w:szCs w:val="32"/>
        </w:rPr>
        <w:t>Application A</w:t>
      </w:r>
      <w:r>
        <w:rPr>
          <w:sz w:val="32"/>
          <w:szCs w:val="32"/>
        </w:rPr>
        <w:t>ddendum</w:t>
      </w:r>
    </w:p>
    <w:p w:rsidR="001539E7" w:rsidRDefault="001539E7" w:rsidP="001539E7">
      <w:pPr>
        <w:pStyle w:val="NoSpacing"/>
      </w:pPr>
    </w:p>
    <w:p w:rsidR="00F815FC" w:rsidRPr="00F815FC" w:rsidRDefault="00F815FC" w:rsidP="00F815FC">
      <w:pPr>
        <w:pStyle w:val="NoSpacing"/>
      </w:pPr>
      <w:r w:rsidRPr="00F815FC">
        <w:t>Please provide a current resume or curriculum vitae.</w:t>
      </w:r>
    </w:p>
    <w:p w:rsidR="00F815FC" w:rsidRPr="00F815FC" w:rsidRDefault="00F815FC" w:rsidP="00F815FC">
      <w:pPr>
        <w:pStyle w:val="NoSpacing"/>
      </w:pPr>
    </w:p>
    <w:p w:rsidR="00F815FC" w:rsidRPr="00F815FC" w:rsidRDefault="00F815FC" w:rsidP="00F815FC">
      <w:pPr>
        <w:pStyle w:val="NoSpacing"/>
      </w:pPr>
      <w:r w:rsidRPr="00F815FC">
        <w:t>Name:</w:t>
      </w:r>
      <w:r w:rsidRPr="00F815FC">
        <w:tab/>
      </w:r>
      <w:r w:rsidRPr="00F815FC">
        <w:tab/>
      </w:r>
      <w:r w:rsidRPr="00F815FC">
        <w:tab/>
      </w:r>
      <w:r w:rsidRPr="00F815FC">
        <w:tab/>
      </w:r>
      <w:r w:rsidRPr="00F815FC">
        <w:tab/>
      </w:r>
      <w:r w:rsidRPr="00F815FC">
        <w:tab/>
      </w:r>
      <w:r w:rsidRPr="00F815FC">
        <w:tab/>
      </w:r>
      <w:r w:rsidRPr="00F815FC">
        <w:tab/>
        <w:t>Fla Bar Number:</w:t>
      </w:r>
    </w:p>
    <w:p w:rsidR="00F815FC" w:rsidRPr="00F815FC" w:rsidRDefault="00F815FC" w:rsidP="00F815FC">
      <w:pPr>
        <w:pStyle w:val="NoSpacing"/>
      </w:pPr>
    </w:p>
    <w:p w:rsidR="00F815FC" w:rsidRPr="00F815FC" w:rsidRDefault="00F815FC" w:rsidP="00F815FC">
      <w:pPr>
        <w:pStyle w:val="NoSpacing"/>
      </w:pPr>
      <w:r w:rsidRPr="00F815FC">
        <w:t>Years admitted to the Florida Bar:</w:t>
      </w:r>
      <w:r w:rsidRPr="00F815FC">
        <w:tab/>
      </w:r>
      <w:r w:rsidRPr="00F815FC">
        <w:tab/>
      </w:r>
    </w:p>
    <w:p w:rsidR="00F815FC" w:rsidRPr="00F815FC" w:rsidRDefault="00F815FC" w:rsidP="00F815FC">
      <w:pPr>
        <w:pStyle w:val="NoSpacing"/>
      </w:pPr>
    </w:p>
    <w:p w:rsidR="00F815FC" w:rsidRDefault="00F815FC" w:rsidP="001539E7">
      <w:pPr>
        <w:pStyle w:val="NoSpacing"/>
      </w:pPr>
      <w:r w:rsidRPr="00F815FC">
        <w:t xml:space="preserve">Years of litigation experience in criminal law:  </w:t>
      </w:r>
    </w:p>
    <w:p w:rsidR="00F815FC" w:rsidRDefault="00F815FC" w:rsidP="001539E7">
      <w:pPr>
        <w:pStyle w:val="NoSpacing"/>
      </w:pPr>
    </w:p>
    <w:p w:rsidR="00F815FC" w:rsidRDefault="00F815FC" w:rsidP="001539E7">
      <w:pPr>
        <w:pStyle w:val="NoSpacing"/>
      </w:pPr>
    </w:p>
    <w:p w:rsidR="001539E7" w:rsidRDefault="001539E7" w:rsidP="00F815FC">
      <w:pPr>
        <w:pStyle w:val="NoSpacing"/>
        <w:jc w:val="both"/>
      </w:pPr>
      <w:r>
        <w:t xml:space="preserve">Rule 3.113, Fl. R. Crim. Pr., </w:t>
      </w:r>
      <w:r w:rsidR="00F815FC">
        <w:t xml:space="preserve">requires “Before an attorney may participate as counsel of record in the circuit court for any adult felony case, including postconviction proceedings before the trial court, the attorney must complete a course, approved by The Florida Bar for continuing legal education credits, of at least 100 minutes and covering the legal and ethical obligations of discovery in a criminal case, including the requirements of rule 3.220, and the principles established in </w:t>
      </w:r>
      <w:r w:rsidR="00F815FC" w:rsidRPr="00F815FC">
        <w:rPr>
          <w:i/>
        </w:rPr>
        <w:t>Brady v. Maryland</w:t>
      </w:r>
      <w:r w:rsidR="00F815FC">
        <w:t xml:space="preserve">, 373 U.S. 83 (1963) and </w:t>
      </w:r>
      <w:r w:rsidR="00F815FC" w:rsidRPr="00E161D4">
        <w:rPr>
          <w:i/>
        </w:rPr>
        <w:t>Giglio v. United States</w:t>
      </w:r>
      <w:r w:rsidR="00F815FC">
        <w:t xml:space="preserve">, 405 U.S. 150 (1972).”  Accordingly, </w:t>
      </w:r>
      <w:r>
        <w:t>please list:</w:t>
      </w:r>
    </w:p>
    <w:p w:rsidR="001539E7" w:rsidRDefault="001539E7" w:rsidP="001539E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0000" w:rsidTr="007E621E">
        <w:tc>
          <w:tcPr>
            <w:tcW w:w="3116" w:type="dxa"/>
          </w:tcPr>
          <w:p w:rsidR="00810000" w:rsidRDefault="00810000" w:rsidP="00810000"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of Compliant Course</w:t>
            </w:r>
          </w:p>
        </w:tc>
        <w:tc>
          <w:tcPr>
            <w:tcW w:w="3117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of Sponsor &amp; Course</w:t>
            </w:r>
          </w:p>
        </w:tc>
        <w:tc>
          <w:tcPr>
            <w:tcW w:w="3117" w:type="dxa"/>
          </w:tcPr>
          <w:p w:rsidR="00810000" w:rsidRDefault="00810000" w:rsidP="00810000"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Hours/Minutes attended and approved by Florida Bar</w:t>
            </w:r>
          </w:p>
        </w:tc>
      </w:tr>
      <w:tr w:rsidR="00810000" w:rsidTr="007E621E">
        <w:tc>
          <w:tcPr>
            <w:tcW w:w="3116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7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7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</w:tr>
      <w:tr w:rsidR="00810000" w:rsidTr="007E621E">
        <w:tc>
          <w:tcPr>
            <w:tcW w:w="3116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7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7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</w:tr>
      <w:tr w:rsidR="00810000" w:rsidTr="007E621E">
        <w:tc>
          <w:tcPr>
            <w:tcW w:w="3116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7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7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</w:tr>
      <w:tr w:rsidR="00810000" w:rsidTr="007E621E">
        <w:tc>
          <w:tcPr>
            <w:tcW w:w="3116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7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7" w:type="dxa"/>
          </w:tcPr>
          <w:p w:rsidR="00810000" w:rsidRDefault="00810000" w:rsidP="007E621E">
            <w:pPr>
              <w:pStyle w:val="NoSpacing"/>
              <w:jc w:val="both"/>
              <w:rPr>
                <w:rFonts w:cs="Times New Roman"/>
                <w:szCs w:val="24"/>
              </w:rPr>
            </w:pPr>
          </w:p>
        </w:tc>
      </w:tr>
    </w:tbl>
    <w:p w:rsidR="001539E7" w:rsidRPr="001539E7" w:rsidRDefault="001539E7" w:rsidP="00810000">
      <w:pPr>
        <w:pStyle w:val="NoSpacing"/>
        <w:ind w:left="3600" w:hanging="3600"/>
      </w:pPr>
    </w:p>
    <w:sectPr w:rsidR="001539E7" w:rsidRPr="00153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E7"/>
    <w:rsid w:val="001539E7"/>
    <w:rsid w:val="00255982"/>
    <w:rsid w:val="003A17DA"/>
    <w:rsid w:val="003C5956"/>
    <w:rsid w:val="005247B8"/>
    <w:rsid w:val="007D3316"/>
    <w:rsid w:val="00810000"/>
    <w:rsid w:val="0085183B"/>
    <w:rsid w:val="00CB59A0"/>
    <w:rsid w:val="00E161D4"/>
    <w:rsid w:val="00F13A72"/>
    <w:rsid w:val="00F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A1057-08FE-46AD-BAAD-B293065D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5247B8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A72"/>
    <w:pPr>
      <w:spacing w:after="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00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Munyon, Lisa T.</dc:creator>
  <cp:keywords/>
  <dc:description/>
  <cp:lastModifiedBy>Welch, Helene</cp:lastModifiedBy>
  <cp:revision>2</cp:revision>
  <cp:lastPrinted>2018-06-04T14:52:00Z</cp:lastPrinted>
  <dcterms:created xsi:type="dcterms:W3CDTF">2019-03-29T18:15:00Z</dcterms:created>
  <dcterms:modified xsi:type="dcterms:W3CDTF">2019-03-29T18:15:00Z</dcterms:modified>
</cp:coreProperties>
</file>